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231" w:rsidRPr="005673F3" w:rsidRDefault="005673F3">
      <w:pPr>
        <w:rPr>
          <w:rFonts w:cstheme="minorHAnsi"/>
          <w:b/>
          <w:sz w:val="52"/>
          <w:szCs w:val="52"/>
        </w:rPr>
      </w:pPr>
      <w:r w:rsidRPr="005673F3">
        <w:rPr>
          <w:rFonts w:cstheme="minorHAnsi"/>
          <w:b/>
          <w:sz w:val="52"/>
          <w:szCs w:val="52"/>
        </w:rPr>
        <w:t xml:space="preserve">MKPPL- </w:t>
      </w:r>
      <w:r w:rsidR="0097055C" w:rsidRPr="005673F3">
        <w:rPr>
          <w:rFonts w:cstheme="minorHAnsi"/>
          <w:b/>
          <w:sz w:val="52"/>
          <w:szCs w:val="52"/>
        </w:rPr>
        <w:t>MEMANTINE HCL ER PELLETS</w:t>
      </w:r>
    </w:p>
    <w:p w:rsidR="005673F3" w:rsidRDefault="005673F3" w:rsidP="00210053">
      <w:pPr>
        <w:spacing w:after="0" w:line="240" w:lineRule="auto"/>
        <w:rPr>
          <w:rFonts w:ascii="Times New Roman" w:hAnsi="Times New Roman" w:cs="Times New Roman"/>
          <w:b/>
          <w:color w:val="5F497A" w:themeColor="accent4" w:themeShade="BF"/>
          <w:sz w:val="24"/>
          <w:szCs w:val="24"/>
          <w:u w:val="single"/>
        </w:rPr>
      </w:pPr>
    </w:p>
    <w:p w:rsidR="005673F3" w:rsidRDefault="005673F3" w:rsidP="005673F3">
      <w:pPr>
        <w:spacing w:after="160" w:line="360" w:lineRule="auto"/>
        <w:jc w:val="both"/>
        <w:rPr>
          <w:rFonts w:cstheme="minorHAnsi"/>
        </w:rPr>
      </w:pPr>
      <w:r w:rsidRPr="008272A8">
        <w:rPr>
          <w:rFonts w:cstheme="minorHAnsi"/>
          <w:bCs/>
        </w:rPr>
        <w:t>Memantine</w:t>
      </w:r>
      <w:r w:rsidRPr="005673F3">
        <w:rPr>
          <w:rFonts w:cstheme="minorHAnsi"/>
        </w:rPr>
        <w:t xml:space="preserve"> is used to treat moderate to severe </w:t>
      </w:r>
      <w:hyperlink r:id="rId7" w:tooltip="Alzheimer's disease" w:history="1">
        <w:r w:rsidRPr="005673F3">
          <w:rPr>
            <w:rStyle w:val="Hyperlink"/>
            <w:rFonts w:cstheme="minorHAnsi"/>
            <w:color w:val="auto"/>
            <w:u w:val="none"/>
          </w:rPr>
          <w:t>Alzheimer's disease</w:t>
        </w:r>
      </w:hyperlink>
      <w:r w:rsidRPr="005673F3">
        <w:rPr>
          <w:rFonts w:cstheme="minorHAnsi"/>
        </w:rPr>
        <w:t xml:space="preserve">. It acts on the </w:t>
      </w:r>
      <w:hyperlink r:id="rId8" w:tooltip="Glutamatergic system" w:history="1">
        <w:r>
          <w:rPr>
            <w:rStyle w:val="Hyperlink"/>
            <w:rFonts w:cstheme="minorHAnsi"/>
            <w:color w:val="auto"/>
            <w:u w:val="none"/>
          </w:rPr>
          <w:t>G</w:t>
        </w:r>
        <w:r w:rsidRPr="005673F3">
          <w:rPr>
            <w:rStyle w:val="Hyperlink"/>
            <w:rFonts w:cstheme="minorHAnsi"/>
            <w:color w:val="auto"/>
            <w:u w:val="none"/>
          </w:rPr>
          <w:t>lutamatergic system</w:t>
        </w:r>
      </w:hyperlink>
      <w:r w:rsidRPr="005673F3">
        <w:rPr>
          <w:rFonts w:cstheme="minorHAnsi"/>
        </w:rPr>
        <w:t xml:space="preserve"> by blocking </w:t>
      </w:r>
      <w:hyperlink r:id="rId9" w:tooltip="NMDA receptor" w:history="1">
        <w:r w:rsidRPr="005673F3">
          <w:rPr>
            <w:rStyle w:val="Hyperlink"/>
            <w:rFonts w:cstheme="minorHAnsi"/>
            <w:color w:val="auto"/>
            <w:u w:val="none"/>
          </w:rPr>
          <w:t>NMDA receptors</w:t>
        </w:r>
      </w:hyperlink>
      <w:r w:rsidRPr="005673F3">
        <w:rPr>
          <w:rFonts w:cstheme="minorHAnsi"/>
        </w:rPr>
        <w:t xml:space="preserve">. It was first synthesized by </w:t>
      </w:r>
      <w:hyperlink r:id="rId10" w:tooltip="Eli Lilly and Company" w:history="1">
        <w:r w:rsidRPr="005673F3">
          <w:rPr>
            <w:rStyle w:val="Hyperlink"/>
            <w:rFonts w:cstheme="minorHAnsi"/>
            <w:color w:val="auto"/>
            <w:u w:val="none"/>
          </w:rPr>
          <w:t>Eli Lilly and Company</w:t>
        </w:r>
      </w:hyperlink>
      <w:r w:rsidRPr="005673F3">
        <w:rPr>
          <w:rFonts w:cstheme="minorHAnsi"/>
        </w:rPr>
        <w:t xml:space="preserve"> in 1968 as a potential agent to treat diabetes.</w:t>
      </w:r>
      <w:r>
        <w:rPr>
          <w:rFonts w:cstheme="minorHAnsi"/>
        </w:rPr>
        <w:t xml:space="preserve"> </w:t>
      </w:r>
      <w:r w:rsidRPr="005673F3">
        <w:rPr>
          <w:rFonts w:cstheme="minorHAnsi"/>
        </w:rPr>
        <w:t>Memantine exerts its action through uncompetitive NMDA receptor antagonism, binding preferentially to the NMDA receptor-operated cation channels. Prolonged increased levels of glutamate in the brain of demented patients are sufficient to counter the voltage-dependent block of NMDA receptors by Mg</w:t>
      </w:r>
      <w:r w:rsidRPr="005673F3">
        <w:rPr>
          <w:rFonts w:cstheme="minorHAnsi"/>
          <w:vertAlign w:val="superscript"/>
        </w:rPr>
        <w:t>2+</w:t>
      </w:r>
      <w:r w:rsidRPr="005673F3">
        <w:rPr>
          <w:rFonts w:cstheme="minorHAnsi"/>
        </w:rPr>
        <w:t xml:space="preserve"> ions and allow continuous influx of Ca</w:t>
      </w:r>
      <w:r w:rsidRPr="005673F3">
        <w:rPr>
          <w:rFonts w:cstheme="minorHAnsi"/>
          <w:vertAlign w:val="superscript"/>
        </w:rPr>
        <w:t>2+</w:t>
      </w:r>
      <w:r w:rsidRPr="005673F3">
        <w:rPr>
          <w:rFonts w:cstheme="minorHAnsi"/>
        </w:rPr>
        <w:t xml:space="preserve"> ions into cells, ultimately resulting in neuronal degeneration. </w:t>
      </w:r>
    </w:p>
    <w:p w:rsidR="00C31ABC" w:rsidRDefault="005673F3" w:rsidP="005673F3">
      <w:pPr>
        <w:spacing w:after="160" w:line="360" w:lineRule="auto"/>
        <w:jc w:val="both"/>
        <w:rPr>
          <w:rFonts w:cstheme="minorHAnsi"/>
        </w:rPr>
      </w:pPr>
      <w:r>
        <w:rPr>
          <w:rFonts w:cstheme="minorHAnsi"/>
        </w:rPr>
        <w:t>Studies suggest that M</w:t>
      </w:r>
      <w:r w:rsidRPr="005673F3">
        <w:rPr>
          <w:rFonts w:cstheme="minorHAnsi"/>
        </w:rPr>
        <w:t>emantine binds more effectively than Mg</w:t>
      </w:r>
      <w:r w:rsidRPr="005673F3">
        <w:rPr>
          <w:rFonts w:cstheme="minorHAnsi"/>
          <w:vertAlign w:val="superscript"/>
        </w:rPr>
        <w:t>2+</w:t>
      </w:r>
      <w:r>
        <w:rPr>
          <w:rFonts w:cstheme="minorHAnsi"/>
        </w:rPr>
        <w:t xml:space="preserve"> ions at the NMDA receptor</w:t>
      </w:r>
      <w:r w:rsidRPr="005673F3">
        <w:rPr>
          <w:rFonts w:cstheme="minorHAnsi"/>
        </w:rPr>
        <w:t xml:space="preserve"> and thereby effectively blocks this prolonged influx of Ca</w:t>
      </w:r>
      <w:r w:rsidRPr="005673F3">
        <w:rPr>
          <w:rFonts w:cstheme="minorHAnsi"/>
          <w:vertAlign w:val="superscript"/>
        </w:rPr>
        <w:t>2+</w:t>
      </w:r>
      <w:r w:rsidRPr="005673F3">
        <w:rPr>
          <w:rFonts w:cstheme="minorHAnsi"/>
        </w:rPr>
        <w:t xml:space="preserve"> ions through the NMDA channel whilst preserving the transient physiological activation of the channels by higher concentrations of synaptically released glutamate. Thus Memantine protects against chronically elevated concentrations of glutamate.</w:t>
      </w:r>
    </w:p>
    <w:p w:rsidR="005673F3" w:rsidRPr="00C31ABC" w:rsidRDefault="00C31ABC" w:rsidP="005673F3">
      <w:pPr>
        <w:spacing w:after="160" w:line="360" w:lineRule="auto"/>
        <w:jc w:val="both"/>
        <w:rPr>
          <w:rFonts w:cstheme="minorHAnsi"/>
          <w:u w:val="single"/>
        </w:rPr>
      </w:pPr>
      <w:r w:rsidRPr="00C31ABC">
        <w:rPr>
          <w:rFonts w:cstheme="minorHAnsi"/>
          <w:b/>
          <w:sz w:val="24"/>
          <w:szCs w:val="24"/>
          <w:u w:val="single"/>
        </w:rPr>
        <w:t>INNOVATOR</w:t>
      </w:r>
      <w:r w:rsidR="005673F3" w:rsidRPr="00C31ABC">
        <w:rPr>
          <w:rFonts w:cstheme="minorHAnsi"/>
          <w:b/>
          <w:sz w:val="24"/>
          <w:szCs w:val="24"/>
          <w:u w:val="single"/>
        </w:rPr>
        <w:t xml:space="preserve"> </w:t>
      </w:r>
    </w:p>
    <w:p w:rsidR="005673F3" w:rsidRPr="005673F3" w:rsidRDefault="005673F3" w:rsidP="005673F3">
      <w:pPr>
        <w:spacing w:after="160" w:line="360" w:lineRule="auto"/>
        <w:jc w:val="both"/>
        <w:rPr>
          <w:rFonts w:cstheme="minorHAnsi"/>
        </w:rPr>
      </w:pPr>
      <w:r w:rsidRPr="005673F3">
        <w:rPr>
          <w:rFonts w:cstheme="minorHAnsi"/>
          <w:b/>
        </w:rPr>
        <w:t>NAMENDA XR</w:t>
      </w:r>
      <w:r w:rsidRPr="005673F3">
        <w:rPr>
          <w:rFonts w:cstheme="minorHAnsi"/>
        </w:rPr>
        <w:t xml:space="preserve"> capsules are supplied for oral administration as 7, 14, 21, and 28 mg capsules. Each capsule contains extended release beads with the labeled amount of </w:t>
      </w:r>
      <w:r w:rsidR="00E02604" w:rsidRPr="005673F3">
        <w:rPr>
          <w:rFonts w:cstheme="minorHAnsi"/>
        </w:rPr>
        <w:t>Memantine</w:t>
      </w:r>
      <w:r w:rsidRPr="005673F3">
        <w:rPr>
          <w:rFonts w:cstheme="minorHAnsi"/>
        </w:rPr>
        <w:t xml:space="preserve"> HCl and the following inactive ingredients: sugar spheres, polyvinyl</w:t>
      </w:r>
      <w:r w:rsidR="00E02604">
        <w:rPr>
          <w:rFonts w:cstheme="minorHAnsi"/>
        </w:rPr>
        <w:t xml:space="preserve"> </w:t>
      </w:r>
      <w:r w:rsidRPr="005673F3">
        <w:rPr>
          <w:rFonts w:cstheme="minorHAnsi"/>
        </w:rPr>
        <w:t xml:space="preserve">pyrrolidone, hypromellose, talc, polyethylene glycol, </w:t>
      </w:r>
      <w:r w:rsidR="00E02604" w:rsidRPr="005673F3">
        <w:rPr>
          <w:rFonts w:cstheme="minorHAnsi"/>
        </w:rPr>
        <w:t>ethyl cellulose</w:t>
      </w:r>
      <w:r w:rsidRPr="005673F3">
        <w:rPr>
          <w:rFonts w:cstheme="minorHAnsi"/>
        </w:rPr>
        <w:t xml:space="preserve">, ammonium hydroxide, oleic acid, and medium chain </w:t>
      </w:r>
      <w:hyperlink r:id="rId11" w:history="1">
        <w:r w:rsidRPr="005673F3">
          <w:rPr>
            <w:rStyle w:val="Hyperlink"/>
            <w:rFonts w:cstheme="minorHAnsi"/>
            <w:color w:val="auto"/>
            <w:u w:val="none"/>
          </w:rPr>
          <w:t>triglycerides</w:t>
        </w:r>
      </w:hyperlink>
      <w:r w:rsidRPr="005673F3">
        <w:rPr>
          <w:rFonts w:cstheme="minorHAnsi"/>
        </w:rPr>
        <w:t xml:space="preserve"> in hard gelatin capsules.</w:t>
      </w:r>
    </w:p>
    <w:p w:rsidR="005673F3" w:rsidRPr="00C31ABC" w:rsidRDefault="008D0EA9" w:rsidP="005673F3">
      <w:pPr>
        <w:spacing w:after="160" w:line="360" w:lineRule="auto"/>
        <w:jc w:val="both"/>
        <w:rPr>
          <w:rFonts w:cstheme="minorHAnsi"/>
          <w:b/>
          <w:u w:val="single"/>
        </w:rPr>
      </w:pPr>
      <w:r w:rsidRPr="00C31ABC">
        <w:rPr>
          <w:rFonts w:cstheme="minorHAnsi"/>
          <w:b/>
          <w:u w:val="single"/>
        </w:rPr>
        <w:t>MKPPL MEMANTINE PELLETS EQUIVALENT TO INNOVATOR PRODUCT (NAMENDA XR)</w:t>
      </w:r>
    </w:p>
    <w:p w:rsidR="005673F3" w:rsidRPr="005673F3" w:rsidRDefault="005673F3" w:rsidP="005673F3">
      <w:pPr>
        <w:spacing w:after="160" w:line="360" w:lineRule="auto"/>
        <w:jc w:val="both"/>
        <w:rPr>
          <w:rFonts w:cstheme="minorHAnsi"/>
          <w:color w:val="222222"/>
          <w:highlight w:val="yellow"/>
        </w:rPr>
      </w:pPr>
      <w:r w:rsidRPr="005673F3">
        <w:rPr>
          <w:rFonts w:cstheme="minorHAnsi"/>
          <w:color w:val="222222"/>
        </w:rPr>
        <w:t xml:space="preserve">The Extended release pellets are the mixture of two </w:t>
      </w:r>
      <w:r w:rsidR="00E02604" w:rsidRPr="005673F3">
        <w:rPr>
          <w:rFonts w:cstheme="minorHAnsi"/>
          <w:color w:val="222222"/>
        </w:rPr>
        <w:t>types</w:t>
      </w:r>
      <w:r w:rsidRPr="005673F3">
        <w:rPr>
          <w:rFonts w:cstheme="minorHAnsi"/>
          <w:color w:val="222222"/>
        </w:rPr>
        <w:t xml:space="preserve"> of pellets. Part A contains </w:t>
      </w:r>
      <w:r w:rsidR="00E02604" w:rsidRPr="005673F3">
        <w:rPr>
          <w:rFonts w:cstheme="minorHAnsi"/>
          <w:color w:val="222222"/>
        </w:rPr>
        <w:t>immediate</w:t>
      </w:r>
      <w:r w:rsidRPr="005673F3">
        <w:rPr>
          <w:rFonts w:cstheme="minorHAnsi"/>
          <w:color w:val="222222"/>
        </w:rPr>
        <w:t xml:space="preserve"> release pellets as a loading dose for onset of action and Part B contains </w:t>
      </w:r>
      <w:r w:rsidR="00E02604" w:rsidRPr="005673F3">
        <w:rPr>
          <w:rFonts w:cstheme="minorHAnsi"/>
          <w:color w:val="222222"/>
        </w:rPr>
        <w:t>extended</w:t>
      </w:r>
      <w:r w:rsidRPr="005673F3">
        <w:rPr>
          <w:rFonts w:cstheme="minorHAnsi"/>
          <w:color w:val="222222"/>
        </w:rPr>
        <w:t xml:space="preserve"> release pellets as a maintenance dose. These two type</w:t>
      </w:r>
      <w:r w:rsidR="00E02604">
        <w:rPr>
          <w:rFonts w:cstheme="minorHAnsi"/>
          <w:color w:val="222222"/>
        </w:rPr>
        <w:t>s</w:t>
      </w:r>
      <w:r w:rsidRPr="005673F3">
        <w:rPr>
          <w:rFonts w:cstheme="minorHAnsi"/>
          <w:color w:val="222222"/>
        </w:rPr>
        <w:t xml:space="preserve"> of pellets are blended together and the final strength of pellets is 10.56% w/w. Thi</w:t>
      </w:r>
      <w:r w:rsidR="00E02604">
        <w:rPr>
          <w:rFonts w:cstheme="minorHAnsi"/>
          <w:color w:val="222222"/>
        </w:rPr>
        <w:t>s strength is dose equivalent and s</w:t>
      </w:r>
      <w:r w:rsidRPr="005673F3">
        <w:rPr>
          <w:rFonts w:cstheme="minorHAnsi"/>
          <w:color w:val="222222"/>
        </w:rPr>
        <w:t>ame pellets are used for different doses by changing the fill weight and capsule size for respective doses.</w:t>
      </w:r>
    </w:p>
    <w:p w:rsidR="005673F3" w:rsidRPr="005673F3" w:rsidRDefault="005673F3" w:rsidP="005673F3">
      <w:pPr>
        <w:spacing w:after="160" w:line="360" w:lineRule="auto"/>
        <w:jc w:val="both"/>
        <w:rPr>
          <w:rFonts w:cstheme="minorHAnsi"/>
          <w:color w:val="222222"/>
        </w:rPr>
      </w:pPr>
      <w:r w:rsidRPr="005673F3">
        <w:rPr>
          <w:rFonts w:cstheme="minorHAnsi"/>
          <w:color w:val="222222"/>
        </w:rPr>
        <w:t>The strength of the pellets is,</w:t>
      </w:r>
    </w:p>
    <w:p w:rsidR="005673F3" w:rsidRPr="005673F3" w:rsidRDefault="005673F3" w:rsidP="005673F3">
      <w:pPr>
        <w:pStyle w:val="ListParagraph"/>
        <w:numPr>
          <w:ilvl w:val="0"/>
          <w:numId w:val="1"/>
        </w:numPr>
        <w:spacing w:after="160" w:line="360" w:lineRule="auto"/>
        <w:jc w:val="both"/>
        <w:rPr>
          <w:rFonts w:cstheme="minorHAnsi"/>
          <w:color w:val="222222"/>
        </w:rPr>
      </w:pPr>
      <w:r w:rsidRPr="005673F3">
        <w:rPr>
          <w:rFonts w:cstheme="minorHAnsi"/>
          <w:color w:val="222222"/>
        </w:rPr>
        <w:t>10.56% w/w for dose of 14 mg with average capsule fill weight 133 mg in size 4capsule.</w:t>
      </w:r>
    </w:p>
    <w:p w:rsidR="005673F3" w:rsidRPr="005673F3" w:rsidRDefault="005673F3" w:rsidP="005673F3">
      <w:pPr>
        <w:pStyle w:val="ListParagraph"/>
        <w:numPr>
          <w:ilvl w:val="0"/>
          <w:numId w:val="1"/>
        </w:numPr>
        <w:spacing w:after="160" w:line="360" w:lineRule="auto"/>
        <w:jc w:val="both"/>
        <w:rPr>
          <w:rFonts w:cstheme="minorHAnsi"/>
          <w:color w:val="222222"/>
        </w:rPr>
      </w:pPr>
      <w:r w:rsidRPr="005673F3">
        <w:rPr>
          <w:rFonts w:cstheme="minorHAnsi"/>
          <w:color w:val="222222"/>
        </w:rPr>
        <w:t>10.56% w/w for dose of 21 mg with average capsule fill weight 199 mg in size 3 capsule</w:t>
      </w:r>
    </w:p>
    <w:p w:rsidR="005673F3" w:rsidRPr="005673F3" w:rsidRDefault="005673F3" w:rsidP="005673F3">
      <w:pPr>
        <w:pStyle w:val="ListParagraph"/>
        <w:numPr>
          <w:ilvl w:val="0"/>
          <w:numId w:val="1"/>
        </w:numPr>
        <w:spacing w:after="160" w:line="360" w:lineRule="auto"/>
        <w:jc w:val="both"/>
        <w:rPr>
          <w:rFonts w:cstheme="minorHAnsi"/>
          <w:color w:val="222222"/>
        </w:rPr>
      </w:pPr>
      <w:r w:rsidRPr="005673F3">
        <w:rPr>
          <w:rFonts w:cstheme="minorHAnsi"/>
          <w:color w:val="222222"/>
        </w:rPr>
        <w:t>10.56% w/w for dose of 28 mg with average capsule fill weight 265 mg in size 2 capsule</w:t>
      </w:r>
    </w:p>
    <w:p w:rsidR="005673F3" w:rsidRPr="005673F3" w:rsidRDefault="005673F3" w:rsidP="005673F3">
      <w:pPr>
        <w:pStyle w:val="ListParagraph"/>
        <w:spacing w:after="160" w:line="360" w:lineRule="auto"/>
        <w:jc w:val="both"/>
        <w:rPr>
          <w:rFonts w:cstheme="minorHAnsi"/>
          <w:color w:val="222222"/>
          <w:highlight w:val="yellow"/>
        </w:rPr>
      </w:pPr>
    </w:p>
    <w:p w:rsidR="005673F3" w:rsidRPr="005673F3" w:rsidRDefault="005673F3" w:rsidP="005673F3">
      <w:pPr>
        <w:spacing w:after="160" w:line="360" w:lineRule="auto"/>
        <w:jc w:val="both"/>
        <w:rPr>
          <w:rFonts w:cstheme="minorHAnsi"/>
          <w:color w:val="222222"/>
        </w:rPr>
      </w:pPr>
      <w:r w:rsidRPr="005673F3">
        <w:rPr>
          <w:rFonts w:cstheme="minorHAnsi"/>
          <w:color w:val="222222"/>
        </w:rPr>
        <w:t xml:space="preserve">The formulation is based on the preparation of dispersion of drug in purified water and homogenization to reduce the particle size of active ingredient, to achieve the dissolution equivalent to innovator. </w:t>
      </w:r>
    </w:p>
    <w:p w:rsidR="005673F3" w:rsidRPr="005673F3" w:rsidRDefault="005673F3" w:rsidP="005673F3">
      <w:pPr>
        <w:spacing w:after="160" w:line="360" w:lineRule="auto"/>
        <w:jc w:val="both"/>
        <w:rPr>
          <w:rFonts w:cstheme="minorHAnsi"/>
          <w:color w:val="222222"/>
        </w:rPr>
      </w:pPr>
      <w:r w:rsidRPr="005673F3">
        <w:rPr>
          <w:rFonts w:cstheme="minorHAnsi"/>
          <w:color w:val="222222"/>
        </w:rPr>
        <w:t xml:space="preserve">The particle size distribution is measured at solution preparation stage and after loading of the drug to the spheres. </w:t>
      </w:r>
    </w:p>
    <w:p w:rsidR="005673F3" w:rsidRPr="005673F3" w:rsidRDefault="005673F3" w:rsidP="005673F3">
      <w:pPr>
        <w:spacing w:after="160" w:line="360" w:lineRule="auto"/>
        <w:jc w:val="both"/>
        <w:rPr>
          <w:rFonts w:cstheme="minorHAnsi"/>
          <w:color w:val="222222"/>
        </w:rPr>
      </w:pPr>
      <w:r w:rsidRPr="005673F3">
        <w:rPr>
          <w:rFonts w:cstheme="minorHAnsi"/>
          <w:color w:val="222222"/>
        </w:rPr>
        <w:t>Based on reviewing the product we have adapted the process of Fluid bed coating.</w:t>
      </w:r>
    </w:p>
    <w:p w:rsidR="005673F3" w:rsidRPr="005673F3" w:rsidRDefault="005673F3" w:rsidP="005673F3">
      <w:pPr>
        <w:spacing w:after="160" w:line="360" w:lineRule="auto"/>
        <w:jc w:val="both"/>
        <w:rPr>
          <w:rFonts w:cstheme="minorHAnsi"/>
          <w:color w:val="222222"/>
        </w:rPr>
      </w:pPr>
      <w:r w:rsidRPr="005673F3">
        <w:rPr>
          <w:rFonts w:cstheme="minorHAnsi"/>
          <w:color w:val="222222"/>
        </w:rPr>
        <w:t xml:space="preserve">In case of Fluid bed coater, the solution of </w:t>
      </w:r>
      <w:r>
        <w:rPr>
          <w:rFonts w:cstheme="minorHAnsi"/>
          <w:color w:val="000000"/>
          <w:shd w:val="clear" w:color="auto" w:fill="FFFFFF"/>
        </w:rPr>
        <w:t>Mema</w:t>
      </w:r>
      <w:r w:rsidRPr="005673F3">
        <w:rPr>
          <w:rFonts w:cstheme="minorHAnsi"/>
          <w:color w:val="000000"/>
          <w:shd w:val="clear" w:color="auto" w:fill="FFFFFF"/>
        </w:rPr>
        <w:t>ntine</w:t>
      </w:r>
      <w:r w:rsidRPr="005673F3">
        <w:rPr>
          <w:rFonts w:cstheme="minorHAnsi"/>
          <w:color w:val="222222"/>
        </w:rPr>
        <w:t xml:space="preserve"> along with other ingredients like Sodium Lauryl Sulphate, Hydroxy propyl methyl cellulose,</w:t>
      </w:r>
      <w:r w:rsidRPr="005673F3">
        <w:rPr>
          <w:rFonts w:cstheme="minorHAnsi"/>
          <w:color w:val="000000"/>
          <w:shd w:val="clear" w:color="auto" w:fill="FFFFFF"/>
        </w:rPr>
        <w:t xml:space="preserve"> talc is sprayed on</w:t>
      </w:r>
      <w:r w:rsidR="00E02604">
        <w:rPr>
          <w:rFonts w:cstheme="minorHAnsi"/>
          <w:color w:val="000000"/>
          <w:shd w:val="clear" w:color="auto" w:fill="FFFFFF"/>
        </w:rPr>
        <w:t xml:space="preserve"> </w:t>
      </w:r>
      <w:r w:rsidRPr="005673F3">
        <w:rPr>
          <w:rFonts w:cstheme="minorHAnsi"/>
          <w:color w:val="222222"/>
        </w:rPr>
        <w:t>Sugar</w:t>
      </w:r>
      <w:r w:rsidR="00E02604">
        <w:rPr>
          <w:rFonts w:cstheme="minorHAnsi"/>
          <w:color w:val="222222"/>
        </w:rPr>
        <w:t xml:space="preserve"> </w:t>
      </w:r>
      <w:r w:rsidRPr="005673F3">
        <w:rPr>
          <w:rFonts w:cstheme="minorHAnsi"/>
          <w:color w:val="222222"/>
        </w:rPr>
        <w:t>spheres.</w:t>
      </w:r>
      <w:r w:rsidR="00E02604">
        <w:rPr>
          <w:rFonts w:cstheme="minorHAnsi"/>
          <w:color w:val="222222"/>
        </w:rPr>
        <w:t xml:space="preserve"> </w:t>
      </w:r>
      <w:r w:rsidRPr="005673F3">
        <w:rPr>
          <w:rFonts w:cstheme="minorHAnsi"/>
          <w:color w:val="222222"/>
        </w:rPr>
        <w:t>This drug loaded pellets are further coated with release controlling polymer for e.g. Ethyl cellulose to achieve the desired release profile.</w:t>
      </w:r>
    </w:p>
    <w:p w:rsidR="005673F3" w:rsidRPr="005673F3" w:rsidRDefault="005673F3" w:rsidP="005673F3">
      <w:pPr>
        <w:spacing w:after="160" w:line="360" w:lineRule="auto"/>
        <w:jc w:val="both"/>
        <w:rPr>
          <w:rFonts w:cstheme="minorHAnsi"/>
          <w:color w:val="222222"/>
        </w:rPr>
      </w:pPr>
      <w:r w:rsidRPr="005673F3">
        <w:rPr>
          <w:rFonts w:cstheme="minorHAnsi"/>
          <w:color w:val="222222"/>
        </w:rPr>
        <w:t xml:space="preserve">Multimedia dissolution study is conducted for both innovator and the MKPPL product. </w:t>
      </w:r>
    </w:p>
    <w:p w:rsidR="005673F3" w:rsidRPr="005673F3" w:rsidRDefault="005673F3" w:rsidP="005673F3">
      <w:pPr>
        <w:spacing w:after="160" w:line="360" w:lineRule="auto"/>
        <w:jc w:val="both"/>
        <w:rPr>
          <w:rFonts w:cstheme="minorHAnsi"/>
          <w:color w:val="222222"/>
        </w:rPr>
      </w:pPr>
      <w:r w:rsidRPr="005673F3">
        <w:rPr>
          <w:rFonts w:cstheme="minorHAnsi"/>
          <w:color w:val="222222"/>
        </w:rPr>
        <w:t>Based on the stability study data the expiry date of the product is 3 years from the</w:t>
      </w:r>
      <w:bookmarkStart w:id="0" w:name="_GoBack"/>
      <w:bookmarkEnd w:id="0"/>
      <w:r w:rsidRPr="005673F3">
        <w:rPr>
          <w:rFonts w:cstheme="minorHAnsi"/>
          <w:color w:val="222222"/>
        </w:rPr>
        <w:t xml:space="preserve"> date of manufacturing.</w:t>
      </w:r>
    </w:p>
    <w:p w:rsidR="005673F3" w:rsidRPr="005673F3" w:rsidRDefault="005673F3" w:rsidP="005673F3">
      <w:pPr>
        <w:spacing w:after="160" w:line="360" w:lineRule="auto"/>
        <w:jc w:val="both"/>
        <w:rPr>
          <w:rFonts w:cstheme="minorHAnsi"/>
          <w:color w:val="000000"/>
          <w:shd w:val="clear" w:color="auto" w:fill="FFFFFF"/>
        </w:rPr>
      </w:pPr>
    </w:p>
    <w:p w:rsidR="005673F3" w:rsidRPr="00F67D5E" w:rsidRDefault="00532C60" w:rsidP="005673F3">
      <w:pPr>
        <w:spacing w:after="160" w:line="360" w:lineRule="auto"/>
        <w:jc w:val="both"/>
        <w:rPr>
          <w:rFonts w:cstheme="minorHAnsi"/>
          <w:b/>
          <w:sz w:val="24"/>
          <w:szCs w:val="24"/>
          <w:u w:val="single"/>
        </w:rPr>
      </w:pPr>
      <w:r w:rsidRPr="00F67D5E">
        <w:rPr>
          <w:rFonts w:cstheme="minorHAnsi"/>
          <w:b/>
          <w:sz w:val="24"/>
          <w:szCs w:val="24"/>
          <w:u w:val="single"/>
        </w:rPr>
        <w:t xml:space="preserve">MEMANTINE HCL ER PELLETS </w:t>
      </w:r>
    </w:p>
    <w:p w:rsidR="00901B5E" w:rsidRDefault="00901B5E" w:rsidP="005673F3">
      <w:pPr>
        <w:spacing w:after="160" w:line="360" w:lineRule="auto"/>
        <w:jc w:val="both"/>
        <w:rPr>
          <w:rFonts w:cstheme="minorHAnsi"/>
          <w:b/>
          <w:sz w:val="24"/>
          <w:szCs w:val="24"/>
          <w:u w:val="single"/>
        </w:rPr>
      </w:pPr>
    </w:p>
    <w:p w:rsidR="00901B5E" w:rsidRPr="00901B5E" w:rsidRDefault="00901B5E" w:rsidP="005673F3">
      <w:pPr>
        <w:spacing w:after="160" w:line="360" w:lineRule="auto"/>
        <w:jc w:val="both"/>
        <w:rPr>
          <w:rFonts w:cstheme="minorHAnsi"/>
          <w:b/>
          <w:sz w:val="24"/>
          <w:szCs w:val="24"/>
          <w:u w:val="single"/>
        </w:rPr>
      </w:pPr>
      <w:r>
        <w:rPr>
          <w:rFonts w:cstheme="minorHAnsi"/>
          <w:b/>
          <w:noProof/>
          <w:sz w:val="24"/>
          <w:szCs w:val="24"/>
          <w:u w:val="single"/>
        </w:rPr>
        <w:drawing>
          <wp:inline distT="0" distB="0" distL="0" distR="0">
            <wp:extent cx="2286000" cy="2286000"/>
            <wp:effectExtent l="19050" t="0" r="0" b="0"/>
            <wp:docPr id="1" name="Picture 1" descr="F:\Support_Do_Not-Delete\Desktop\Memantine HCL ER Pell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upport_Do_Not-Delete\Desktop\Memantine HCL ER Pellets.jpg"/>
                    <pic:cNvPicPr>
                      <a:picLocks noChangeAspect="1" noChangeArrowheads="1"/>
                    </pic:cNvPicPr>
                  </pic:nvPicPr>
                  <pic:blipFill>
                    <a:blip r:embed="rId12"/>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sectPr w:rsidR="00901B5E" w:rsidRPr="00901B5E" w:rsidSect="001A1231">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DEC" w:rsidRDefault="00071DEC" w:rsidP="005673F3">
      <w:pPr>
        <w:spacing w:after="0" w:line="240" w:lineRule="auto"/>
      </w:pPr>
      <w:r>
        <w:separator/>
      </w:r>
    </w:p>
  </w:endnote>
  <w:endnote w:type="continuationSeparator" w:id="1">
    <w:p w:rsidR="00071DEC" w:rsidRDefault="00071DEC" w:rsidP="00567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DEC" w:rsidRDefault="00071DEC" w:rsidP="005673F3">
      <w:pPr>
        <w:spacing w:after="0" w:line="240" w:lineRule="auto"/>
      </w:pPr>
      <w:r>
        <w:separator/>
      </w:r>
    </w:p>
  </w:footnote>
  <w:footnote w:type="continuationSeparator" w:id="1">
    <w:p w:rsidR="00071DEC" w:rsidRDefault="00071DEC" w:rsidP="005673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F3" w:rsidRDefault="005673F3">
    <w:pPr>
      <w:pStyle w:val="Header"/>
    </w:pPr>
    <w:r w:rsidRPr="005673F3">
      <w:rPr>
        <w:noProof/>
      </w:rPr>
      <w:drawing>
        <wp:anchor distT="0" distB="0" distL="114300" distR="114300" simplePos="0" relativeHeight="251659264" behindDoc="0" locked="0" layoutInCell="1" allowOverlap="1">
          <wp:simplePos x="0" y="0"/>
          <wp:positionH relativeFrom="column">
            <wp:posOffset>5505450</wp:posOffset>
          </wp:positionH>
          <wp:positionV relativeFrom="paragraph">
            <wp:posOffset>-219075</wp:posOffset>
          </wp:positionV>
          <wp:extent cx="966470" cy="857250"/>
          <wp:effectExtent l="19050" t="0" r="508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 Logo MKPPL.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6470" cy="8572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91331"/>
    <w:multiLevelType w:val="hybridMultilevel"/>
    <w:tmpl w:val="55806190"/>
    <w:lvl w:ilvl="0" w:tplc="58BA2AEE">
      <w:start w:val="7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673F3"/>
    <w:rsid w:val="00071DEC"/>
    <w:rsid w:val="00077335"/>
    <w:rsid w:val="001A1231"/>
    <w:rsid w:val="001E0726"/>
    <w:rsid w:val="00210053"/>
    <w:rsid w:val="003F438D"/>
    <w:rsid w:val="00532C60"/>
    <w:rsid w:val="005673F3"/>
    <w:rsid w:val="00725248"/>
    <w:rsid w:val="008272A8"/>
    <w:rsid w:val="008D0EA9"/>
    <w:rsid w:val="008D4655"/>
    <w:rsid w:val="00901B5E"/>
    <w:rsid w:val="0097055C"/>
    <w:rsid w:val="00A140EF"/>
    <w:rsid w:val="00C31ABC"/>
    <w:rsid w:val="00D4011C"/>
    <w:rsid w:val="00D6313B"/>
    <w:rsid w:val="00DB78E5"/>
    <w:rsid w:val="00E02604"/>
    <w:rsid w:val="00F04B53"/>
    <w:rsid w:val="00F67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2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73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3F3"/>
  </w:style>
  <w:style w:type="paragraph" w:styleId="Footer">
    <w:name w:val="footer"/>
    <w:basedOn w:val="Normal"/>
    <w:link w:val="FooterChar"/>
    <w:uiPriority w:val="99"/>
    <w:semiHidden/>
    <w:unhideWhenUsed/>
    <w:rsid w:val="005673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73F3"/>
  </w:style>
  <w:style w:type="paragraph" w:styleId="ListParagraph">
    <w:name w:val="List Paragraph"/>
    <w:basedOn w:val="Normal"/>
    <w:uiPriority w:val="34"/>
    <w:qFormat/>
    <w:rsid w:val="005673F3"/>
    <w:pPr>
      <w:ind w:left="720"/>
      <w:contextualSpacing/>
    </w:pPr>
  </w:style>
  <w:style w:type="character" w:styleId="Hyperlink">
    <w:name w:val="Hyperlink"/>
    <w:basedOn w:val="DefaultParagraphFont"/>
    <w:uiPriority w:val="99"/>
    <w:unhideWhenUsed/>
    <w:rsid w:val="005673F3"/>
    <w:rPr>
      <w:color w:val="0000FF"/>
      <w:u w:val="single"/>
    </w:rPr>
  </w:style>
  <w:style w:type="paragraph" w:styleId="BalloonText">
    <w:name w:val="Balloon Text"/>
    <w:basedOn w:val="Normal"/>
    <w:link w:val="BalloonTextChar"/>
    <w:uiPriority w:val="99"/>
    <w:semiHidden/>
    <w:unhideWhenUsed/>
    <w:rsid w:val="00901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B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lutamatergic_syste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Alzheimer%27s_disease"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xlist.com/script/main/art.asp?articlekey=88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Eli_Lilly_and_Company" TargetMode="External"/><Relationship Id="rId4" Type="http://schemas.openxmlformats.org/officeDocument/2006/relationships/webSettings" Target="webSettings.xml"/><Relationship Id="rId9" Type="http://schemas.openxmlformats.org/officeDocument/2006/relationships/hyperlink" Target="https://en.wikipedia.org/wiki/NMDA_recepto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Kranthi.Kosaraju</dc:creator>
  <cp:lastModifiedBy>Kranthi.Kosaraju</cp:lastModifiedBy>
  <cp:revision>10</cp:revision>
  <dcterms:created xsi:type="dcterms:W3CDTF">2018-10-03T09:58:00Z</dcterms:created>
  <dcterms:modified xsi:type="dcterms:W3CDTF">2018-10-05T08:50:00Z</dcterms:modified>
</cp:coreProperties>
</file>